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461" w:rsidRDefault="002855FB" w:rsidP="0042351A">
      <w:pPr>
        <w:tabs>
          <w:tab w:val="left" w:pos="851"/>
        </w:tabs>
        <w:spacing w:before="480"/>
        <w:ind w:left="646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Załącznik nr 1f</w:t>
      </w:r>
      <w:r w:rsidR="00B137C7">
        <w:rPr>
          <w:rFonts w:ascii="Verdana" w:hAnsi="Verdana"/>
          <w:sz w:val="20"/>
          <w:szCs w:val="20"/>
        </w:rPr>
        <w:t xml:space="preserve"> do SWZ</w:t>
      </w:r>
    </w:p>
    <w:p w:rsidR="006F19AD" w:rsidRDefault="002855FB" w:rsidP="0042351A">
      <w:pPr>
        <w:spacing w:before="24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Część nr VI</w:t>
      </w:r>
    </w:p>
    <w:p w:rsidR="005D7461" w:rsidRDefault="006F19AD" w:rsidP="0042351A">
      <w:pPr>
        <w:spacing w:before="240" w:after="24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Specyfikacja</w:t>
      </w:r>
      <w:r w:rsidR="00811C08">
        <w:rPr>
          <w:rFonts w:ascii="Verdana" w:hAnsi="Verdana"/>
          <w:b/>
          <w:sz w:val="20"/>
          <w:szCs w:val="20"/>
        </w:rPr>
        <w:t xml:space="preserve"> przedmiotu zamówienia</w:t>
      </w:r>
    </w:p>
    <w:p w:rsidR="005D7461" w:rsidRPr="00B137C7" w:rsidRDefault="00B137C7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1. </w:t>
      </w:r>
      <w:r w:rsidRPr="00B137C7">
        <w:rPr>
          <w:rFonts w:ascii="Verdana" w:hAnsi="Verdana"/>
          <w:sz w:val="20"/>
          <w:szCs w:val="20"/>
        </w:rPr>
        <w:t>Przedmiot zamówienia:</w:t>
      </w:r>
    </w:p>
    <w:p w:rsidR="00AC6CFD" w:rsidRPr="00AC6CFD" w:rsidRDefault="003F2400" w:rsidP="00AC6CFD">
      <w:pPr>
        <w:spacing w:after="240"/>
        <w:ind w:left="283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Dostawa</w:t>
      </w:r>
      <w:bookmarkStart w:id="0" w:name="_GoBack"/>
      <w:bookmarkEnd w:id="0"/>
      <w:r w:rsidR="007E76D2">
        <w:rPr>
          <w:rFonts w:ascii="Verdana" w:hAnsi="Verdana"/>
          <w:b/>
          <w:bCs/>
          <w:color w:val="000000"/>
          <w:sz w:val="20"/>
          <w:szCs w:val="20"/>
        </w:rPr>
        <w:t xml:space="preserve"> 2 sztuk</w:t>
      </w:r>
      <w:r w:rsidR="00811C08" w:rsidRPr="00B137C7">
        <w:rPr>
          <w:rFonts w:ascii="Verdana" w:hAnsi="Verdana"/>
          <w:b/>
          <w:bCs/>
          <w:color w:val="000000"/>
          <w:sz w:val="20"/>
          <w:szCs w:val="20"/>
        </w:rPr>
        <w:t xml:space="preserve"> licencji FortiClient Enterp</w:t>
      </w:r>
      <w:r w:rsidR="00B137C7">
        <w:rPr>
          <w:rFonts w:ascii="Verdana" w:hAnsi="Verdana"/>
          <w:b/>
          <w:bCs/>
          <w:color w:val="000000"/>
          <w:sz w:val="20"/>
          <w:szCs w:val="20"/>
        </w:rPr>
        <w:t xml:space="preserve">rise Management Server License </w:t>
      </w:r>
      <w:r w:rsidR="00811C08" w:rsidRPr="00B137C7">
        <w:rPr>
          <w:rFonts w:ascii="Verdana" w:hAnsi="Verdana"/>
          <w:b/>
          <w:bCs/>
          <w:color w:val="000000"/>
          <w:sz w:val="20"/>
          <w:szCs w:val="20"/>
        </w:rPr>
        <w:t>FC1-15-EMS01-158-02-12 dla 100 klientów na okres 1 roku</w:t>
      </w:r>
      <w:r w:rsidR="00AC6CFD" w:rsidRPr="00AC6CFD">
        <w:rPr>
          <w:rFonts w:ascii="Verdana" w:eastAsiaTheme="minorHAnsi" w:hAnsi="Verdana"/>
          <w:b/>
          <w:sz w:val="20"/>
          <w:szCs w:val="20"/>
          <w:lang w:eastAsia="en-US"/>
        </w:rPr>
        <w:t xml:space="preserve"> lub produktu równoważnego spełniającego wymagania Zamawiającego</w:t>
      </w:r>
    </w:p>
    <w:p w:rsidR="00AC6CFD" w:rsidRPr="00AC6CFD" w:rsidRDefault="00AC6CFD" w:rsidP="006269CA">
      <w:pPr>
        <w:numPr>
          <w:ilvl w:val="0"/>
          <w:numId w:val="2"/>
        </w:numPr>
        <w:spacing w:after="240" w:line="276" w:lineRule="auto"/>
        <w:ind w:left="357" w:hanging="357"/>
        <w:jc w:val="both"/>
        <w:rPr>
          <w:rFonts w:ascii="Verdana" w:eastAsiaTheme="minorHAnsi" w:hAnsi="Verdana"/>
          <w:sz w:val="20"/>
          <w:szCs w:val="20"/>
          <w:lang w:eastAsia="en-US"/>
        </w:rPr>
      </w:pPr>
      <w:r w:rsidRPr="00AC6CFD">
        <w:rPr>
          <w:rFonts w:ascii="Verdana" w:eastAsiaTheme="minorHAnsi" w:hAnsi="Verdana"/>
          <w:sz w:val="20"/>
          <w:szCs w:val="20"/>
          <w:lang w:eastAsia="en-US"/>
        </w:rPr>
        <w:t>Zakup licencji oprogramowania, o których mowa powyżej, jest uzupełnieniem</w:t>
      </w:r>
      <w:r w:rsidR="006269CA">
        <w:rPr>
          <w:rFonts w:ascii="Verdana" w:eastAsiaTheme="minorHAnsi" w:hAnsi="Verdana"/>
          <w:sz w:val="20"/>
          <w:szCs w:val="20"/>
          <w:lang w:eastAsia="en-US"/>
        </w:rPr>
        <w:t xml:space="preserve"> stanu licencyjnego </w:t>
      </w:r>
      <w:r w:rsidRPr="00AC6CFD">
        <w:rPr>
          <w:rFonts w:ascii="Verdana" w:eastAsiaTheme="minorHAnsi" w:hAnsi="Verdana"/>
          <w:sz w:val="20"/>
          <w:szCs w:val="20"/>
          <w:lang w:eastAsia="en-US"/>
        </w:rPr>
        <w:t>w Zarządzie Geodezji, Kartografii i Katastru Miejskiego we Wrocławiu</w:t>
      </w:r>
      <w:r w:rsidR="006269CA">
        <w:rPr>
          <w:rFonts w:ascii="Verdana" w:eastAsiaTheme="minorHAnsi" w:hAnsi="Verdana"/>
          <w:sz w:val="20"/>
          <w:szCs w:val="20"/>
          <w:lang w:eastAsia="en-US"/>
        </w:rPr>
        <w:t>.</w:t>
      </w:r>
      <w:r w:rsidRPr="00AC6CFD">
        <w:rPr>
          <w:rFonts w:ascii="Verdana" w:eastAsiaTheme="minorHAnsi" w:hAnsi="Verdana"/>
          <w:sz w:val="20"/>
          <w:szCs w:val="20"/>
          <w:lang w:eastAsia="en-US"/>
        </w:rPr>
        <w:t xml:space="preserve"> </w:t>
      </w:r>
    </w:p>
    <w:p w:rsidR="00AC6CFD" w:rsidRPr="00AC6CFD" w:rsidRDefault="00AC6CFD" w:rsidP="00AC6CFD">
      <w:pPr>
        <w:numPr>
          <w:ilvl w:val="0"/>
          <w:numId w:val="2"/>
        </w:numPr>
        <w:spacing w:after="200" w:line="276" w:lineRule="auto"/>
        <w:ind w:left="284" w:hanging="284"/>
        <w:contextualSpacing/>
        <w:jc w:val="both"/>
        <w:rPr>
          <w:rFonts w:ascii="Verdana" w:eastAsiaTheme="minorHAnsi" w:hAnsi="Verdana"/>
          <w:sz w:val="20"/>
          <w:szCs w:val="20"/>
          <w:lang w:eastAsia="en-US"/>
        </w:rPr>
      </w:pPr>
      <w:r w:rsidRPr="00AC6CFD">
        <w:rPr>
          <w:rFonts w:ascii="Verdana" w:eastAsiaTheme="minorHAnsi" w:hAnsi="Verdana"/>
          <w:sz w:val="20"/>
          <w:szCs w:val="20"/>
          <w:lang w:eastAsia="en-US"/>
        </w:rPr>
        <w:t>Dopuszcza się zaoferowanie produktu równoważnego do produktu określonego w punkcie 1.</w:t>
      </w:r>
    </w:p>
    <w:p w:rsidR="00AC6CFD" w:rsidRPr="00AC6CFD" w:rsidRDefault="00AC6CFD" w:rsidP="00AC6CFD">
      <w:pPr>
        <w:spacing w:after="200" w:line="276" w:lineRule="auto"/>
        <w:ind w:left="284"/>
        <w:contextualSpacing/>
        <w:jc w:val="both"/>
        <w:rPr>
          <w:rFonts w:ascii="Verdana" w:eastAsiaTheme="minorHAnsi" w:hAnsi="Verdana"/>
          <w:sz w:val="20"/>
          <w:szCs w:val="20"/>
          <w:lang w:eastAsia="en-US"/>
        </w:rPr>
      </w:pPr>
      <w:r w:rsidRPr="00AC6CFD">
        <w:rPr>
          <w:rFonts w:ascii="Verdana" w:eastAsiaTheme="minorHAnsi" w:hAnsi="Verdana"/>
          <w:sz w:val="20"/>
          <w:szCs w:val="20"/>
          <w:lang w:eastAsia="en-US"/>
        </w:rPr>
        <w:t>Równoważność oznacza, że:</w:t>
      </w:r>
    </w:p>
    <w:p w:rsidR="00AC6CFD" w:rsidRPr="00AC6CFD" w:rsidRDefault="00AC6CFD" w:rsidP="00AC6CFD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Verdana" w:eastAsiaTheme="minorHAnsi" w:hAnsi="Verdana"/>
          <w:sz w:val="20"/>
          <w:szCs w:val="20"/>
          <w:lang w:eastAsia="en-US"/>
        </w:rPr>
      </w:pPr>
      <w:r w:rsidRPr="00AC6CFD">
        <w:rPr>
          <w:rFonts w:ascii="Verdana" w:eastAsiaTheme="minorHAnsi" w:hAnsi="Verdana"/>
          <w:sz w:val="20"/>
          <w:szCs w:val="20"/>
          <w:lang w:eastAsia="en-US"/>
        </w:rPr>
        <w:t>warunki licencji w każdym aspekcie licencjonowania są nie gorsze niż licencja dla produktu określonego w punkcie 1 powyżej,</w:t>
      </w:r>
    </w:p>
    <w:p w:rsidR="00AC6CFD" w:rsidRPr="00AC6CFD" w:rsidRDefault="00AC6CFD" w:rsidP="00AC6CFD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Verdana" w:eastAsiaTheme="minorHAnsi" w:hAnsi="Verdana"/>
          <w:sz w:val="20"/>
          <w:szCs w:val="20"/>
          <w:lang w:eastAsia="en-US"/>
        </w:rPr>
      </w:pPr>
      <w:r w:rsidRPr="00AC6CFD">
        <w:rPr>
          <w:rFonts w:ascii="Verdana" w:eastAsiaTheme="minorHAnsi" w:hAnsi="Verdana"/>
          <w:sz w:val="20"/>
          <w:szCs w:val="20"/>
          <w:lang w:eastAsia="en-US"/>
        </w:rPr>
        <w:t xml:space="preserve">nabycie licencji oprogramowania równoważnego pozwala na legalne używanie posiadanych przez Zamawiającego </w:t>
      </w:r>
      <w:r>
        <w:rPr>
          <w:rFonts w:ascii="Verdana" w:eastAsiaTheme="minorHAnsi" w:hAnsi="Verdana"/>
          <w:sz w:val="20"/>
          <w:szCs w:val="20"/>
          <w:lang w:eastAsia="en-US"/>
        </w:rPr>
        <w:t>licencji oprogramowania</w:t>
      </w:r>
      <w:r w:rsidRPr="00AC6CFD">
        <w:rPr>
          <w:rFonts w:ascii="Verdana" w:eastAsiaTheme="minorHAnsi" w:hAnsi="Verdana"/>
          <w:sz w:val="20"/>
          <w:szCs w:val="20"/>
          <w:lang w:eastAsia="en-US"/>
        </w:rPr>
        <w:t>,</w:t>
      </w:r>
    </w:p>
    <w:p w:rsidR="00AC6CFD" w:rsidRPr="00AC6CFD" w:rsidRDefault="00AC6CFD" w:rsidP="00AC6CFD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Verdana" w:eastAsiaTheme="minorHAnsi" w:hAnsi="Verdana"/>
          <w:sz w:val="20"/>
          <w:szCs w:val="20"/>
          <w:lang w:eastAsia="en-US"/>
        </w:rPr>
      </w:pPr>
      <w:r w:rsidRPr="00AC6CFD">
        <w:rPr>
          <w:rFonts w:ascii="Verdana" w:eastAsiaTheme="minorHAnsi" w:hAnsi="Verdana"/>
          <w:sz w:val="20"/>
          <w:szCs w:val="20"/>
          <w:lang w:eastAsia="en-US"/>
        </w:rPr>
        <w:t>funkcjonalność oprogramowania równoważnego nie może być gorsza od funkcjonalności oprogramowania określonego w punkcie 1,</w:t>
      </w:r>
    </w:p>
    <w:p w:rsidR="00AC6CFD" w:rsidRPr="00AC6CFD" w:rsidRDefault="00AC6CFD" w:rsidP="00AC6CFD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Verdana" w:eastAsiaTheme="minorHAnsi" w:hAnsi="Verdana"/>
          <w:sz w:val="20"/>
          <w:szCs w:val="20"/>
          <w:lang w:eastAsia="en-US"/>
        </w:rPr>
      </w:pPr>
      <w:r w:rsidRPr="00AC6CFD">
        <w:rPr>
          <w:rFonts w:ascii="Verdana" w:eastAsiaTheme="minorHAnsi" w:hAnsi="Verdana"/>
          <w:sz w:val="20"/>
          <w:szCs w:val="20"/>
          <w:lang w:eastAsia="en-US"/>
        </w:rPr>
        <w:t>oprogramowanie równoważne musi być kompatybilne i w sposób niezakłócony współdziałać ze sprz</w:t>
      </w:r>
      <w:r>
        <w:rPr>
          <w:rFonts w:ascii="Verdana" w:eastAsiaTheme="minorHAnsi" w:hAnsi="Verdana"/>
          <w:sz w:val="20"/>
          <w:szCs w:val="20"/>
          <w:lang w:eastAsia="en-US"/>
        </w:rPr>
        <w:t>ętem i oprogramowaniem</w:t>
      </w:r>
      <w:r w:rsidRPr="00AC6CFD">
        <w:rPr>
          <w:rFonts w:ascii="Verdana" w:eastAsiaTheme="minorHAnsi" w:hAnsi="Verdana"/>
          <w:sz w:val="20"/>
          <w:szCs w:val="20"/>
          <w:lang w:eastAsia="en-US"/>
        </w:rPr>
        <w:t xml:space="preserve"> funkcjonującym u Zamawiającego,</w:t>
      </w:r>
    </w:p>
    <w:p w:rsidR="00AC6CFD" w:rsidRPr="00AC6CFD" w:rsidRDefault="00AC6CFD" w:rsidP="00AC6CFD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Verdana" w:eastAsiaTheme="minorHAnsi" w:hAnsi="Verdana"/>
          <w:sz w:val="20"/>
          <w:szCs w:val="20"/>
          <w:lang w:eastAsia="en-US"/>
        </w:rPr>
      </w:pPr>
      <w:r w:rsidRPr="00AC6CFD">
        <w:rPr>
          <w:rFonts w:ascii="Verdana" w:eastAsiaTheme="minorHAnsi" w:hAnsi="Verdana"/>
          <w:sz w:val="20"/>
          <w:szCs w:val="20"/>
          <w:lang w:eastAsia="en-US"/>
        </w:rPr>
        <w:t>oprogramowanie równoważne nie może zakłócić pracy środowiska systemowo-programowego Zamawiającego,</w:t>
      </w:r>
    </w:p>
    <w:p w:rsidR="00AC6CFD" w:rsidRPr="00AC6CFD" w:rsidRDefault="00AC6CFD" w:rsidP="00AC6CFD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Verdana" w:eastAsiaTheme="minorHAnsi" w:hAnsi="Verdana"/>
          <w:sz w:val="20"/>
          <w:szCs w:val="20"/>
          <w:lang w:eastAsia="en-US"/>
        </w:rPr>
      </w:pPr>
      <w:r w:rsidRPr="00AC6CFD">
        <w:rPr>
          <w:rFonts w:ascii="Verdana" w:eastAsiaTheme="minorHAnsi" w:hAnsi="Verdana"/>
          <w:sz w:val="20"/>
          <w:szCs w:val="20"/>
          <w:lang w:eastAsia="en-US"/>
        </w:rPr>
        <w:t>oprogramowanie równoważne musi w pełni współpracować z systemami już eksploatowanymi u Zamawiającego,</w:t>
      </w:r>
    </w:p>
    <w:p w:rsidR="00AC6CFD" w:rsidRPr="00AC6CFD" w:rsidRDefault="00AC6CFD" w:rsidP="00AC6CFD">
      <w:pPr>
        <w:numPr>
          <w:ilvl w:val="0"/>
          <w:numId w:val="1"/>
        </w:numPr>
        <w:spacing w:after="240" w:line="276" w:lineRule="auto"/>
        <w:ind w:left="709" w:hanging="357"/>
        <w:jc w:val="both"/>
        <w:rPr>
          <w:rFonts w:ascii="Verdana" w:eastAsiaTheme="minorHAnsi" w:hAnsi="Verdana"/>
          <w:sz w:val="20"/>
          <w:szCs w:val="20"/>
          <w:lang w:eastAsia="en-US"/>
        </w:rPr>
      </w:pPr>
      <w:r w:rsidRPr="00AC6CFD">
        <w:rPr>
          <w:rFonts w:ascii="Verdana" w:eastAsiaTheme="minorHAnsi" w:hAnsi="Verdana"/>
          <w:sz w:val="20"/>
          <w:szCs w:val="20"/>
          <w:lang w:eastAsia="en-US"/>
        </w:rPr>
        <w:t>oprogramowanie równoważne musi zapewniać pełną, równoległą współpracę w czasie rzeczywistym i pełną funkcjonalną zamienno</w:t>
      </w:r>
      <w:r>
        <w:rPr>
          <w:rFonts w:ascii="Verdana" w:eastAsiaTheme="minorHAnsi" w:hAnsi="Verdana"/>
          <w:sz w:val="20"/>
          <w:szCs w:val="20"/>
          <w:lang w:eastAsia="en-US"/>
        </w:rPr>
        <w:t>ść produktu z produktem, o którym mowa w pkt 1</w:t>
      </w:r>
      <w:r w:rsidRPr="00AC6CFD">
        <w:rPr>
          <w:rFonts w:ascii="Verdana" w:eastAsiaTheme="minorHAnsi" w:hAnsi="Verdana"/>
          <w:sz w:val="20"/>
          <w:szCs w:val="20"/>
          <w:lang w:eastAsia="en-US"/>
        </w:rPr>
        <w:t>.</w:t>
      </w:r>
    </w:p>
    <w:p w:rsidR="00AC6CFD" w:rsidRPr="00AC6CFD" w:rsidRDefault="00AC6CFD" w:rsidP="00AC6CFD">
      <w:pPr>
        <w:numPr>
          <w:ilvl w:val="0"/>
          <w:numId w:val="2"/>
        </w:numPr>
        <w:spacing w:before="240" w:after="200" w:line="276" w:lineRule="auto"/>
        <w:ind w:left="284" w:hanging="284"/>
        <w:jc w:val="both"/>
        <w:rPr>
          <w:rFonts w:ascii="Verdana" w:eastAsiaTheme="minorHAnsi" w:hAnsi="Verdana"/>
          <w:sz w:val="20"/>
          <w:szCs w:val="20"/>
          <w:lang w:eastAsia="en-US"/>
        </w:rPr>
      </w:pPr>
      <w:r w:rsidRPr="00AC6CFD">
        <w:rPr>
          <w:rFonts w:ascii="Verdana" w:eastAsiaTheme="minorHAnsi" w:hAnsi="Verdana"/>
          <w:sz w:val="20"/>
          <w:szCs w:val="20"/>
          <w:lang w:eastAsia="en-US"/>
        </w:rPr>
        <w:t>Wykonawca, który zaoferuje produkt równoważny musi udowodnić spełnienie wszystkich warunków określonych w punkcie 3.</w:t>
      </w:r>
    </w:p>
    <w:p w:rsidR="00AC6CFD" w:rsidRPr="00AC6CFD" w:rsidRDefault="00AC6CFD" w:rsidP="00AC6CFD">
      <w:pPr>
        <w:tabs>
          <w:tab w:val="left" w:pos="720"/>
        </w:tabs>
        <w:spacing w:after="200" w:line="276" w:lineRule="auto"/>
        <w:jc w:val="both"/>
        <w:rPr>
          <w:rFonts w:ascii="Verdana" w:eastAsiaTheme="minorHAnsi" w:hAnsi="Verdana"/>
          <w:sz w:val="20"/>
          <w:szCs w:val="20"/>
          <w:lang w:eastAsia="en-US"/>
        </w:rPr>
      </w:pPr>
      <w:r w:rsidRPr="00AC6CFD">
        <w:rPr>
          <w:rFonts w:ascii="Verdana" w:eastAsiaTheme="minorHAnsi" w:hAnsi="Verdana"/>
          <w:sz w:val="20"/>
          <w:szCs w:val="20"/>
          <w:lang w:eastAsia="en-US"/>
        </w:rPr>
        <w:tab/>
        <w:t>W tym celu Wykonawca:</w:t>
      </w:r>
    </w:p>
    <w:p w:rsidR="00AC6CFD" w:rsidRPr="00AC6CFD" w:rsidRDefault="00AC6CFD" w:rsidP="00AC6CFD">
      <w:pPr>
        <w:numPr>
          <w:ilvl w:val="0"/>
          <w:numId w:val="3"/>
        </w:numPr>
        <w:tabs>
          <w:tab w:val="left" w:pos="720"/>
        </w:tabs>
        <w:spacing w:after="200" w:line="276" w:lineRule="auto"/>
        <w:contextualSpacing/>
        <w:jc w:val="both"/>
        <w:rPr>
          <w:rFonts w:ascii="Verdana" w:eastAsiaTheme="minorHAnsi" w:hAnsi="Verdana"/>
          <w:sz w:val="20"/>
          <w:szCs w:val="20"/>
          <w:lang w:eastAsia="en-US"/>
        </w:rPr>
      </w:pPr>
      <w:r w:rsidRPr="00AC6CFD">
        <w:rPr>
          <w:rFonts w:ascii="Verdana" w:eastAsiaTheme="minorHAnsi" w:hAnsi="Verdana"/>
          <w:sz w:val="20"/>
          <w:szCs w:val="20"/>
          <w:lang w:eastAsia="en-US"/>
        </w:rPr>
        <w:t>złoży wraz z ofertą nw. dokumenty:</w:t>
      </w:r>
    </w:p>
    <w:p w:rsidR="00AC6CFD" w:rsidRPr="00AC6CFD" w:rsidRDefault="00AC6CFD" w:rsidP="00AC6CFD">
      <w:pPr>
        <w:numPr>
          <w:ilvl w:val="1"/>
          <w:numId w:val="3"/>
        </w:numPr>
        <w:tabs>
          <w:tab w:val="left" w:pos="720"/>
        </w:tabs>
        <w:spacing w:after="200" w:line="276" w:lineRule="auto"/>
        <w:contextualSpacing/>
        <w:jc w:val="both"/>
        <w:rPr>
          <w:rFonts w:ascii="Verdana" w:eastAsiaTheme="minorHAnsi" w:hAnsi="Verdana"/>
          <w:sz w:val="20"/>
          <w:szCs w:val="20"/>
          <w:lang w:eastAsia="en-US"/>
        </w:rPr>
      </w:pPr>
      <w:r w:rsidRPr="00AC6CFD">
        <w:rPr>
          <w:rFonts w:ascii="Verdana" w:eastAsiaTheme="minorHAnsi" w:hAnsi="Verdana"/>
          <w:sz w:val="20"/>
          <w:szCs w:val="20"/>
          <w:lang w:eastAsia="en-US"/>
        </w:rPr>
        <w:t>pełne postanowienia licencji oprogramowania równoważnego,</w:t>
      </w:r>
    </w:p>
    <w:p w:rsidR="00AC6CFD" w:rsidRPr="00AC6CFD" w:rsidRDefault="00AC6CFD" w:rsidP="00AC6CFD">
      <w:pPr>
        <w:numPr>
          <w:ilvl w:val="1"/>
          <w:numId w:val="3"/>
        </w:numPr>
        <w:tabs>
          <w:tab w:val="left" w:pos="709"/>
        </w:tabs>
        <w:spacing w:after="200" w:line="276" w:lineRule="auto"/>
        <w:contextualSpacing/>
        <w:jc w:val="both"/>
        <w:rPr>
          <w:rFonts w:ascii="Verdana" w:eastAsiaTheme="minorHAnsi" w:hAnsi="Verdana"/>
          <w:sz w:val="20"/>
          <w:szCs w:val="20"/>
          <w:lang w:eastAsia="en-US"/>
        </w:rPr>
      </w:pPr>
      <w:r w:rsidRPr="00AC6CFD">
        <w:rPr>
          <w:rFonts w:ascii="Verdana" w:eastAsiaTheme="minorHAnsi" w:hAnsi="Verdana"/>
          <w:sz w:val="20"/>
          <w:szCs w:val="20"/>
          <w:lang w:eastAsia="en-US"/>
        </w:rPr>
        <w:t>wykaz pełnej funkcjonalności oprogramowania równoważnego - w celu potwierdzenia, że oferowane dostawy odpowiadają wymaganiom</w:t>
      </w:r>
      <w:r>
        <w:rPr>
          <w:rFonts w:ascii="Verdana" w:eastAsiaTheme="minorHAnsi" w:hAnsi="Verdana"/>
          <w:sz w:val="20"/>
          <w:szCs w:val="20"/>
          <w:lang w:eastAsia="en-US"/>
        </w:rPr>
        <w:t xml:space="preserve"> określonym przez Zamawiającego</w:t>
      </w:r>
    </w:p>
    <w:p w:rsidR="00AC6CFD" w:rsidRPr="00AC6CFD" w:rsidRDefault="00AC6CFD" w:rsidP="002855FB">
      <w:pPr>
        <w:numPr>
          <w:ilvl w:val="0"/>
          <w:numId w:val="3"/>
        </w:numPr>
        <w:tabs>
          <w:tab w:val="left" w:pos="709"/>
        </w:tabs>
        <w:spacing w:after="360" w:line="276" w:lineRule="auto"/>
        <w:ind w:left="714" w:hanging="357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C6CFD">
        <w:rPr>
          <w:rFonts w:ascii="Verdana" w:eastAsiaTheme="minorHAnsi" w:hAnsi="Verdana"/>
          <w:sz w:val="20"/>
          <w:szCs w:val="20"/>
          <w:lang w:eastAsia="en-US"/>
        </w:rPr>
        <w:t>w przypadku, gdy zaoferowane przez Wykonawcę równoważne oprogramowanie nie będzie właściwie współdziałać ze sprzętem i oprogramowaniem funkcjonującym u Zamawiającego i/lub spowoduje zakłócenia w funkcjonowaniu pracy środowiska sprzętowo-programowego u Zamawiającego, Wykonawca pokryje wszystkie koszty związane z przywróceniem i sprawnym działaniem infrastruktury sprzętowo-programowej Zamawiającego oraz na własny koszt dokona niezbędnych modyfikacji przywracających właściwe działanie środowiska sprzętowo-programowego Zamawiającego również po odinstalowaniu oprogramowania równoważnego.</w:t>
      </w:r>
    </w:p>
    <w:p w:rsidR="005D7461" w:rsidRDefault="005D7461" w:rsidP="0042351A">
      <w:pPr>
        <w:spacing w:after="240"/>
        <w:ind w:left="284"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:rsidR="00B137C7" w:rsidRPr="006F19AD" w:rsidRDefault="00AC6CFD" w:rsidP="00811C08">
      <w:pPr>
        <w:spacing w:after="120"/>
        <w:jc w:val="both"/>
        <w:rPr>
          <w:rFonts w:ascii="Verdana" w:hAnsi="Verdana"/>
          <w:bCs/>
          <w:color w:val="000000"/>
          <w:sz w:val="20"/>
          <w:szCs w:val="20"/>
        </w:rPr>
      </w:pPr>
      <w:r>
        <w:rPr>
          <w:rFonts w:ascii="Verdana" w:hAnsi="Verdana"/>
          <w:bCs/>
          <w:color w:val="000000"/>
          <w:sz w:val="20"/>
          <w:szCs w:val="20"/>
        </w:rPr>
        <w:t>5</w:t>
      </w:r>
      <w:r w:rsidR="00B137C7" w:rsidRPr="006F19AD">
        <w:rPr>
          <w:rFonts w:ascii="Verdana" w:hAnsi="Verdana"/>
          <w:bCs/>
          <w:color w:val="000000"/>
          <w:sz w:val="20"/>
          <w:szCs w:val="20"/>
        </w:rPr>
        <w:t>. Termin wykonania zamówienia:</w:t>
      </w:r>
    </w:p>
    <w:p w:rsidR="00811C08" w:rsidRPr="00811C08" w:rsidRDefault="00811C08" w:rsidP="00811C08">
      <w:pPr>
        <w:ind w:firstLine="284"/>
        <w:jc w:val="both"/>
        <w:rPr>
          <w:rFonts w:ascii="Verdana" w:hAnsi="Verdana"/>
          <w:bCs/>
          <w:sz w:val="20"/>
          <w:szCs w:val="20"/>
        </w:rPr>
      </w:pPr>
      <w:r w:rsidRPr="00811C08">
        <w:rPr>
          <w:rFonts w:ascii="Verdana" w:hAnsi="Verdana"/>
          <w:bCs/>
          <w:color w:val="000000"/>
          <w:sz w:val="20"/>
          <w:szCs w:val="20"/>
        </w:rPr>
        <w:t>Maksymalny termin dostawy – 7 dni kalendarzowych od dnia podpisania umowy</w:t>
      </w:r>
    </w:p>
    <w:sectPr w:rsidR="00811C08" w:rsidRPr="00811C08" w:rsidSect="007E76D2">
      <w:footerReference w:type="default" r:id="rId7"/>
      <w:pgSz w:w="11906" w:h="16838"/>
      <w:pgMar w:top="426" w:right="1417" w:bottom="1417" w:left="1417" w:header="0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6D2" w:rsidRDefault="007E76D2" w:rsidP="007E76D2">
      <w:r>
        <w:separator/>
      </w:r>
    </w:p>
  </w:endnote>
  <w:endnote w:type="continuationSeparator" w:id="0">
    <w:p w:rsidR="007E76D2" w:rsidRDefault="007E76D2" w:rsidP="007E7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Gentium Book Basic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6730736"/>
      <w:docPartObj>
        <w:docPartGallery w:val="Page Numbers (Bottom of Page)"/>
        <w:docPartUnique/>
      </w:docPartObj>
    </w:sdtPr>
    <w:sdtEndPr/>
    <w:sdtContent>
      <w:p w:rsidR="007E76D2" w:rsidRDefault="007E76D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2400">
          <w:rPr>
            <w:noProof/>
          </w:rPr>
          <w:t>1</w:t>
        </w:r>
        <w:r>
          <w:fldChar w:fldCharType="end"/>
        </w:r>
      </w:p>
    </w:sdtContent>
  </w:sdt>
  <w:p w:rsidR="007E76D2" w:rsidRDefault="007E76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6D2" w:rsidRDefault="007E76D2" w:rsidP="007E76D2">
      <w:r>
        <w:separator/>
      </w:r>
    </w:p>
  </w:footnote>
  <w:footnote w:type="continuationSeparator" w:id="0">
    <w:p w:rsidR="007E76D2" w:rsidRDefault="007E76D2" w:rsidP="007E76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12B7D"/>
    <w:multiLevelType w:val="multilevel"/>
    <w:tmpl w:val="318C467A"/>
    <w:lvl w:ilvl="0">
      <w:start w:val="1"/>
      <w:numFmt w:val="lowerLetter"/>
      <w:lvlText w:val="%1)"/>
      <w:lvlJc w:val="left"/>
      <w:pPr>
        <w:ind w:left="710" w:hanging="360"/>
      </w:pPr>
    </w:lvl>
    <w:lvl w:ilvl="1">
      <w:start w:val="1"/>
      <w:numFmt w:val="lowerLetter"/>
      <w:lvlText w:val="%2."/>
      <w:lvlJc w:val="left"/>
      <w:pPr>
        <w:ind w:left="1430" w:hanging="360"/>
      </w:pPr>
    </w:lvl>
    <w:lvl w:ilvl="2">
      <w:start w:val="1"/>
      <w:numFmt w:val="lowerRoman"/>
      <w:lvlText w:val="%3."/>
      <w:lvlJc w:val="right"/>
      <w:pPr>
        <w:ind w:left="2150" w:hanging="180"/>
      </w:pPr>
    </w:lvl>
    <w:lvl w:ilvl="3">
      <w:start w:val="1"/>
      <w:numFmt w:val="decimal"/>
      <w:lvlText w:val="%4."/>
      <w:lvlJc w:val="left"/>
      <w:pPr>
        <w:ind w:left="2870" w:hanging="360"/>
      </w:pPr>
    </w:lvl>
    <w:lvl w:ilvl="4">
      <w:start w:val="1"/>
      <w:numFmt w:val="lowerLetter"/>
      <w:lvlText w:val="%5."/>
      <w:lvlJc w:val="left"/>
      <w:pPr>
        <w:ind w:left="3590" w:hanging="360"/>
      </w:pPr>
    </w:lvl>
    <w:lvl w:ilvl="5">
      <w:start w:val="1"/>
      <w:numFmt w:val="lowerRoman"/>
      <w:lvlText w:val="%6."/>
      <w:lvlJc w:val="right"/>
      <w:pPr>
        <w:ind w:left="4310" w:hanging="180"/>
      </w:pPr>
    </w:lvl>
    <w:lvl w:ilvl="6">
      <w:start w:val="1"/>
      <w:numFmt w:val="decimal"/>
      <w:lvlText w:val="%7."/>
      <w:lvlJc w:val="left"/>
      <w:pPr>
        <w:ind w:left="5030" w:hanging="360"/>
      </w:pPr>
    </w:lvl>
    <w:lvl w:ilvl="7">
      <w:start w:val="1"/>
      <w:numFmt w:val="lowerLetter"/>
      <w:lvlText w:val="%8."/>
      <w:lvlJc w:val="left"/>
      <w:pPr>
        <w:ind w:left="5750" w:hanging="360"/>
      </w:pPr>
    </w:lvl>
    <w:lvl w:ilvl="8">
      <w:start w:val="1"/>
      <w:numFmt w:val="lowerRoman"/>
      <w:lvlText w:val="%9."/>
      <w:lvlJc w:val="right"/>
      <w:pPr>
        <w:ind w:left="6470" w:hanging="180"/>
      </w:pPr>
    </w:lvl>
  </w:abstractNum>
  <w:abstractNum w:abstractNumId="1" w15:restartNumberingAfterBreak="0">
    <w:nsid w:val="258A53E1"/>
    <w:multiLevelType w:val="multilevel"/>
    <w:tmpl w:val="D08E61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 w15:restartNumberingAfterBreak="0">
    <w:nsid w:val="7C650EA7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7461"/>
    <w:rsid w:val="002855FB"/>
    <w:rsid w:val="003F2400"/>
    <w:rsid w:val="0042351A"/>
    <w:rsid w:val="005D7461"/>
    <w:rsid w:val="006269CA"/>
    <w:rsid w:val="006F19AD"/>
    <w:rsid w:val="007E76D2"/>
    <w:rsid w:val="00811C08"/>
    <w:rsid w:val="00AC6CFD"/>
    <w:rsid w:val="00B13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038618"/>
  <w15:docId w15:val="{37D9EA14-ED4F-4641-AAE6-6EA5DAC42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416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Heading"/>
    <w:next w:val="Tekstpodstawowy"/>
    <w:qFormat/>
    <w:p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dtytuZnak">
    <w:name w:val="Podtytuł Znak"/>
    <w:basedOn w:val="Domylnaczcionkaakapitu"/>
    <w:link w:val="Podtytu"/>
    <w:uiPriority w:val="11"/>
    <w:qFormat/>
    <w:rsid w:val="008B6D6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61938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ny"/>
    <w:qFormat/>
    <w:pPr>
      <w:suppressLineNumbers/>
    </w:pPr>
    <w:rPr>
      <w:rFonts w:cs="Manga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B6D60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Akapitzlist">
    <w:name w:val="List Paragraph"/>
    <w:basedOn w:val="Normalny"/>
    <w:uiPriority w:val="34"/>
    <w:qFormat/>
    <w:rsid w:val="008B6D6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61938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qFormat/>
    <w:rsid w:val="00D102C5"/>
  </w:style>
  <w:style w:type="paragraph" w:styleId="Nagwek">
    <w:name w:val="header"/>
    <w:basedOn w:val="Normalny"/>
    <w:link w:val="NagwekZnak"/>
    <w:uiPriority w:val="99"/>
    <w:unhideWhenUsed/>
    <w:rsid w:val="007E76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76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76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76D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363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grodzkad</dc:creator>
  <dc:description/>
  <cp:lastModifiedBy>Dominika GRODZKA | ZGKiKM Wrocław</cp:lastModifiedBy>
  <cp:revision>22</cp:revision>
  <cp:lastPrinted>2020-01-02T14:08:00Z</cp:lastPrinted>
  <dcterms:created xsi:type="dcterms:W3CDTF">2018-11-14T09:51:00Z</dcterms:created>
  <dcterms:modified xsi:type="dcterms:W3CDTF">2021-02-24T15:24:00Z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